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592" w:rsidRDefault="00DB5F63">
      <w:pPr>
        <w:pStyle w:val="Standard"/>
        <w:rPr>
          <w:rFonts w:ascii="Jamrul" w:hAnsi="Jamrul"/>
          <w:b/>
          <w:bCs/>
          <w:i/>
          <w:iCs/>
          <w:sz w:val="30"/>
          <w:szCs w:val="30"/>
        </w:rPr>
      </w:pPr>
      <w:bookmarkStart w:id="0" w:name="_GoBack"/>
      <w:bookmarkEnd w:id="0"/>
      <w:r>
        <w:rPr>
          <w:rFonts w:ascii="Jamrul" w:hAnsi="Jamrul"/>
          <w:b/>
          <w:bCs/>
          <w:i/>
          <w:iCs/>
          <w:sz w:val="30"/>
          <w:szCs w:val="30"/>
        </w:rPr>
        <w:t>A Budapesti Műszaki Szakképzési Centrum Bláthy Ottó Titusz Technikumának</w:t>
      </w:r>
      <w:r>
        <w:rPr>
          <w:rFonts w:ascii="Jamrul" w:hAnsi="Jamrul"/>
          <w:b/>
          <w:bCs/>
          <w:i/>
          <w:iCs/>
          <w:sz w:val="30"/>
          <w:szCs w:val="30"/>
        </w:rPr>
        <w:t xml:space="preserve"> helyi tanterve</w:t>
      </w:r>
    </w:p>
    <w:p w:rsidR="00CA4592" w:rsidRDefault="00CA4592">
      <w:pPr>
        <w:pStyle w:val="Standard"/>
        <w:rPr>
          <w:rFonts w:ascii="Jamrul" w:hAnsi="Jamrul"/>
          <w:b/>
          <w:bCs/>
          <w:i/>
          <w:iCs/>
          <w:sz w:val="30"/>
          <w:szCs w:val="30"/>
        </w:rPr>
      </w:pPr>
    </w:p>
    <w:p w:rsidR="00CA4592" w:rsidRDefault="00CA4592">
      <w:pPr>
        <w:pStyle w:val="Standard"/>
        <w:rPr>
          <w:rFonts w:ascii="Gargi" w:hAnsi="Gargi"/>
          <w:b/>
          <w:bCs/>
          <w:i/>
          <w:iCs/>
          <w:sz w:val="32"/>
          <w:szCs w:val="32"/>
        </w:rPr>
      </w:pPr>
    </w:p>
    <w:p w:rsidR="00CA4592" w:rsidRDefault="00DB5F63">
      <w:pPr>
        <w:pStyle w:val="Standard"/>
        <w:jc w:val="center"/>
        <w:rPr>
          <w:rFonts w:ascii="Gargi" w:hAnsi="Gargi"/>
          <w:b/>
          <w:bCs/>
          <w:i/>
          <w:iCs/>
          <w:sz w:val="32"/>
          <w:szCs w:val="32"/>
        </w:rPr>
      </w:pPr>
      <w:r>
        <w:rPr>
          <w:rFonts w:ascii="Gargi" w:hAnsi="Gargi"/>
          <w:b/>
          <w:bCs/>
          <w:i/>
          <w:iCs/>
          <w:sz w:val="32"/>
          <w:szCs w:val="32"/>
        </w:rPr>
        <w:t>TESTNEVELÉS</w:t>
      </w:r>
    </w:p>
    <w:p w:rsidR="00CA4592" w:rsidRDefault="00CA4592">
      <w:pPr>
        <w:pStyle w:val="Standard"/>
        <w:jc w:val="center"/>
        <w:rPr>
          <w:rFonts w:ascii="Gargi" w:hAnsi="Gargi"/>
          <w:b/>
          <w:bCs/>
          <w:i/>
          <w:iCs/>
          <w:sz w:val="26"/>
          <w:szCs w:val="26"/>
        </w:rPr>
      </w:pPr>
    </w:p>
    <w:p w:rsidR="00CA4592" w:rsidRDefault="00CA4592">
      <w:pPr>
        <w:pStyle w:val="Standard"/>
        <w:jc w:val="center"/>
        <w:rPr>
          <w:rFonts w:ascii="Gargi" w:hAnsi="Gargi"/>
          <w:b/>
          <w:bCs/>
          <w:i/>
          <w:iCs/>
        </w:rPr>
      </w:pPr>
    </w:p>
    <w:p w:rsidR="00CA4592" w:rsidRDefault="00DB5F63">
      <w:pPr>
        <w:pStyle w:val="Standard"/>
        <w:spacing w:after="103" w:line="360" w:lineRule="auto"/>
        <w:jc w:val="both"/>
        <w:rPr>
          <w:rFonts w:ascii="Jamrul" w:hAnsi="Jamrul"/>
          <w:i/>
          <w:iCs/>
        </w:rPr>
      </w:pPr>
      <w:r>
        <w:rPr>
          <w:rFonts w:ascii="Jamrul" w:hAnsi="Jamrul"/>
          <w:i/>
          <w:iCs/>
          <w:color w:val="000000"/>
        </w:rPr>
        <w:t xml:space="preserve">A testnevelés tanulása során kiemelt szerepet kap a testi-lelki egészségre nevelés, ezen belül az egészségtudatos és sportszerű magatartás kialakítása, az elsődleges prevenció jelentőségének, módszereinek hangsúlyozása, </w:t>
      </w:r>
      <w:r>
        <w:rPr>
          <w:rFonts w:ascii="Jamrul" w:hAnsi="Jamrul"/>
          <w:i/>
          <w:iCs/>
        </w:rPr>
        <w:t>tuda</w:t>
      </w:r>
      <w:r>
        <w:rPr>
          <w:rFonts w:ascii="Jamrul" w:hAnsi="Jamrul"/>
          <w:i/>
          <w:iCs/>
        </w:rPr>
        <w:t xml:space="preserve">tos alkalmazása. </w:t>
      </w:r>
      <w:r>
        <w:rPr>
          <w:rFonts w:ascii="Jamrul" w:hAnsi="Jamrul"/>
          <w:i/>
          <w:iCs/>
          <w:color w:val="000000"/>
        </w:rPr>
        <w:t>Az egyéni érdeklődéshez, adottságokhoz igazodó önálló mozgásformák kialakítása, amelyek elősegítik a tanulók egészséges önbizalmának kialakítását, ami hozzásegíti őket a tudatos életpálya-építéshez. A testnevelés sajátos társas környezetbe</w:t>
      </w:r>
      <w:r>
        <w:rPr>
          <w:rFonts w:ascii="Jamrul" w:hAnsi="Jamrul"/>
          <w:i/>
          <w:iCs/>
          <w:color w:val="000000"/>
        </w:rPr>
        <w:t>n megvalósuló mozgástartalmai az együttműködésre és kölcsönös tiszteletadásra nevelik a tanulókat társas kapcsolataikban.</w:t>
      </w:r>
    </w:p>
    <w:p w:rsidR="00CA4592" w:rsidRDefault="00DB5F63">
      <w:pPr>
        <w:pStyle w:val="Standard"/>
        <w:spacing w:after="160" w:line="360" w:lineRule="auto"/>
        <w:jc w:val="both"/>
        <w:rPr>
          <w:rFonts w:ascii="Jamrul" w:hAnsi="Jamrul"/>
          <w:i/>
          <w:iCs/>
          <w:color w:val="000000"/>
        </w:rPr>
      </w:pPr>
      <w:r>
        <w:rPr>
          <w:rFonts w:ascii="Jamrul" w:hAnsi="Jamrul"/>
          <w:i/>
          <w:iCs/>
          <w:color w:val="000000"/>
        </w:rPr>
        <w:t>A mozgástanuláson keresztül megvalósuló motorikus fejlesztés mellett ebben az időszakban kiemelt hangsúlyt kap az alapvető kondicionál</w:t>
      </w:r>
      <w:r>
        <w:rPr>
          <w:rFonts w:ascii="Jamrul" w:hAnsi="Jamrul"/>
          <w:i/>
          <w:iCs/>
          <w:color w:val="000000"/>
        </w:rPr>
        <w:t>is és koordinációs képességek fejlesztése, azok gyakorlati hasznának tudatosítása. A mozgással kapcsolatos pozitív hozzáállás mellett szükséges tudatosítani a diákokban a mozgásszegény életmód hátrányainak későbbi káros hatásait. Kiemelt figyelmet kell for</w:t>
      </w:r>
      <w:r>
        <w:rPr>
          <w:rFonts w:ascii="Jamrul" w:hAnsi="Jamrul"/>
          <w:i/>
          <w:iCs/>
          <w:color w:val="000000"/>
        </w:rPr>
        <w:t>dítani arra, hogy a diákok meg-, és felismerjék a mozgás egészségmegőrző szerepét. Ismerjék meg a testi-lelki jóllét, az egészséges fáradtság fogalmát, jelentőségét. Sokoldalú mozgástapasztalatai birtokában legyen képes választani a különböző rekreációs mo</w:t>
      </w:r>
      <w:r>
        <w:rPr>
          <w:rFonts w:ascii="Jamrul" w:hAnsi="Jamrul"/>
          <w:i/>
          <w:iCs/>
          <w:color w:val="000000"/>
        </w:rPr>
        <w:t>zgásformák közül, önálló és tudatos sporttevékenységet végezni. Értéknek tartja a természetben folytatott mozgást, tudja és tapasztalja annak pozitív, egészségmegőrző hatását, ami erősíti a fenntartható jelen és jövő iránti elkötelezettségét.</w:t>
      </w:r>
    </w:p>
    <w:p w:rsidR="00CA4592" w:rsidRDefault="00DB5F63">
      <w:pPr>
        <w:pStyle w:val="Standard"/>
        <w:spacing w:after="160" w:line="360" w:lineRule="auto"/>
        <w:jc w:val="both"/>
      </w:pPr>
      <w:r>
        <w:rPr>
          <w:rFonts w:ascii="Jamrul" w:hAnsi="Jamrul"/>
          <w:i/>
          <w:iCs/>
          <w:color w:val="000000"/>
        </w:rPr>
        <w:t xml:space="preserve">A korosztály </w:t>
      </w:r>
      <w:r>
        <w:rPr>
          <w:rFonts w:ascii="Jamrul" w:hAnsi="Jamrul"/>
          <w:i/>
          <w:iCs/>
          <w:color w:val="000000"/>
        </w:rPr>
        <w:t>kondicionális fejlesztésében kiemelt szerepet kap a teljes nevelési szakaszon átívelő aerob és anaerob állóképesség-fejlesztés, melynek módszereit, különböző lehetséges mozgásformáit, a biztonságos fejlődést elősegítő alapelveit, eljárásait megismeri és eg</w:t>
      </w:r>
      <w:r>
        <w:rPr>
          <w:rFonts w:ascii="Jamrul" w:hAnsi="Jamrul"/>
          <w:i/>
          <w:iCs/>
          <w:color w:val="000000"/>
        </w:rPr>
        <w:t xml:space="preserve">yre tudatosabban alkalmazza. </w:t>
      </w:r>
      <w:r>
        <w:rPr>
          <w:rFonts w:ascii="Jamrul" w:hAnsi="Jamrul"/>
          <w:i/>
          <w:iCs/>
          <w:color w:val="000000"/>
        </w:rPr>
        <w:t>A koordinációs képesség fejlesztésében a 15–18 éves kor a differenciáló-irányító képesség fejlődésének kiemelten érzékeny időszaka. Ez elsősorban a nyílt jellegű mozgásvégrehajtások során megmutatkozó kreativitásban, a játékszi</w:t>
      </w:r>
      <w:r>
        <w:rPr>
          <w:rFonts w:ascii="Jamrul" w:hAnsi="Jamrul"/>
          <w:i/>
          <w:iCs/>
          <w:color w:val="000000"/>
        </w:rPr>
        <w:t>tuációkhoz történő gyors alkalmazkodásban ölt testet.</w:t>
      </w:r>
    </w:p>
    <w:p w:rsidR="00CA4592" w:rsidRDefault="00DB5F63">
      <w:pPr>
        <w:pStyle w:val="Standard"/>
        <w:spacing w:after="160" w:line="360" w:lineRule="auto"/>
        <w:jc w:val="both"/>
        <w:rPr>
          <w:rFonts w:ascii="Jamrul" w:hAnsi="Jamrul"/>
          <w:i/>
          <w:iCs/>
          <w:color w:val="000000"/>
        </w:rPr>
      </w:pPr>
      <w:r>
        <w:rPr>
          <w:rFonts w:ascii="Jamrul" w:hAnsi="Jamrul"/>
          <w:i/>
          <w:iCs/>
          <w:color w:val="000000"/>
        </w:rPr>
        <w:t>A digitális technológiák segítségével a tanulói teljesítmények monitorozásán keresztül erősíthetjük a tanulói motivációt és igényt az egészségorientált fittségösszetevők fejlesztésére. Iskolánkban a NE</w:t>
      </w:r>
      <w:r>
        <w:rPr>
          <w:rFonts w:ascii="Jamrul" w:hAnsi="Jamrul"/>
          <w:i/>
          <w:iCs/>
          <w:color w:val="000000"/>
        </w:rPr>
        <w:t>TFIT mérés mellett bevezetünk egy hatékonyabb, pontosabb eredményeket adó gyakorlatokat tartalmazó mérési rendszert. Létrehozunk egy adatbázist, amely felhasználásával diákjaink a saját adataikkal tudnak dolgozni akár matematika, akár informatika órákon. A</w:t>
      </w:r>
      <w:r>
        <w:rPr>
          <w:rFonts w:ascii="Jamrul" w:hAnsi="Jamrul"/>
          <w:i/>
          <w:iCs/>
          <w:color w:val="000000"/>
        </w:rPr>
        <w:t xml:space="preserve"> technológia adta </w:t>
      </w:r>
      <w:r>
        <w:rPr>
          <w:rFonts w:ascii="Jamrul" w:hAnsi="Jamrul"/>
          <w:i/>
          <w:iCs/>
          <w:color w:val="000000"/>
        </w:rPr>
        <w:lastRenderedPageBreak/>
        <w:t>lehetőségek további felhasználásával az elméleti ismeretek elmélyítésére nyílik mód, különböző projektek megvalósításával, az aktív tanulás alapelvét követve. Szintén megvalósításra kerül – a tanév folyamán – egy digitális tananyag, amely</w:t>
      </w:r>
      <w:r>
        <w:rPr>
          <w:rFonts w:ascii="Jamrul" w:hAnsi="Jamrul"/>
          <w:i/>
          <w:iCs/>
          <w:color w:val="000000"/>
        </w:rPr>
        <w:t xml:space="preserve"> tartalmazni fog alapvető ismereteket. Sporttörténelem, olimpiatörténet, magyar olimpikonok, alapvető biológiai ismeretek (pulzus, szívműködés, az emberi test felépítése, működése, az elsősegélynyújtás protokollja, az azonnali segítségnyújtás teendői, stb.</w:t>
      </w:r>
      <w:r>
        <w:rPr>
          <w:rFonts w:ascii="Jamrul" w:hAnsi="Jamrul"/>
          <w:i/>
          <w:iCs/>
          <w:color w:val="000000"/>
        </w:rPr>
        <w:t>).</w:t>
      </w:r>
    </w:p>
    <w:p w:rsidR="00CA4592" w:rsidRDefault="00CA4592">
      <w:pPr>
        <w:pStyle w:val="Standard"/>
        <w:spacing w:after="160"/>
        <w:rPr>
          <w:color w:val="000000"/>
        </w:rPr>
      </w:pPr>
    </w:p>
    <w:p w:rsidR="00CA4592" w:rsidRDefault="00DB5F63">
      <w:pPr>
        <w:pStyle w:val="Standard"/>
        <w:spacing w:after="160" w:line="360" w:lineRule="auto"/>
        <w:jc w:val="both"/>
        <w:rPr>
          <w:rFonts w:ascii="Jamrul" w:hAnsi="Jamrul"/>
          <w:i/>
          <w:iCs/>
          <w:color w:val="000000"/>
        </w:rPr>
      </w:pPr>
      <w:r>
        <w:rPr>
          <w:rFonts w:ascii="Jamrul" w:hAnsi="Jamrul"/>
          <w:i/>
          <w:iCs/>
          <w:color w:val="000000"/>
        </w:rPr>
        <w:t>A tanár-diák kapcsolatokban egyre kevésbé a hierarchián alapuló tekintélyelvű, mindinkább a mentor jellegű viszony kap hangsúlyos szerepet. A testnevelés oktatása során – mivel balesetveszély szempontjából kiemelt tantárgy, a gyakorlatok végrehajtása k</w:t>
      </w:r>
      <w:r>
        <w:rPr>
          <w:rFonts w:ascii="Jamrul" w:hAnsi="Jamrul"/>
          <w:i/>
          <w:iCs/>
          <w:color w:val="000000"/>
        </w:rPr>
        <w:t xml:space="preserve">omoly koncentrációt követel – a hierarchia, a szigorú rend fenntartása nélkülözhetetlen.  A korosztály nevelését koordináló pedagógiai kultúra legfontosabb részét továbbra is a tanulók pozitív énképét, önismereti folyamatait alakító, a pedagógustól érkező </w:t>
      </w:r>
      <w:r>
        <w:rPr>
          <w:rFonts w:ascii="Jamrul" w:hAnsi="Jamrul"/>
          <w:i/>
          <w:iCs/>
          <w:color w:val="000000"/>
        </w:rPr>
        <w:t>formatív értékelés képezi, melyet az önértékelés is  segít. Készségtárgy lévén a tanulót saját képességeihez mérten értékeljük, amelybe – természetesen – a diákok szorgalma, hozzáállása is beleszámít.</w:t>
      </w:r>
    </w:p>
    <w:p w:rsidR="00CA4592" w:rsidRDefault="00DB5F63">
      <w:pPr>
        <w:pStyle w:val="Standard"/>
        <w:spacing w:after="160" w:line="360" w:lineRule="auto"/>
        <w:jc w:val="both"/>
        <w:rPr>
          <w:rFonts w:ascii="Jamrul" w:hAnsi="Jamrul"/>
          <w:i/>
          <w:iCs/>
          <w:color w:val="000000"/>
        </w:rPr>
      </w:pPr>
      <w:r>
        <w:rPr>
          <w:rFonts w:ascii="Jamrul" w:hAnsi="Jamrul"/>
          <w:i/>
          <w:iCs/>
          <w:color w:val="000000"/>
        </w:rPr>
        <w:t>A testnevelésben a kommunikáció általában nehezített k</w:t>
      </w:r>
      <w:r>
        <w:rPr>
          <w:rFonts w:ascii="Jamrul" w:hAnsi="Jamrul"/>
          <w:i/>
          <w:iCs/>
          <w:color w:val="000000"/>
        </w:rPr>
        <w:t>örülmények között, felhívó, felszólító módon, sokszor mozgás közben zajlik, és ez fejleszti a diákok koncentrációs képességeit, valamint a pontos szövegértést is. Emellett a kar- és kézjelzések, a játék, gyakorlás közbeni jelzések (szemkontaktus, rövid jel</w:t>
      </w:r>
      <w:r>
        <w:rPr>
          <w:rFonts w:ascii="Jamrul" w:hAnsi="Jamrul"/>
          <w:i/>
          <w:iCs/>
          <w:color w:val="000000"/>
        </w:rPr>
        <w:t>ek) megértetése és megértése segíti a tanulók metakommunikációs képességének fejlődését. A kreatív feladatmegoldásokon alapuló problémamegoldó gondolkodás egyaránt megjelenik a nyílt jellegű mozgáskészségek (pl. sportjátékok) változatos döntéshozatali játé</w:t>
      </w:r>
      <w:r>
        <w:rPr>
          <w:rFonts w:ascii="Jamrul" w:hAnsi="Jamrul"/>
          <w:i/>
          <w:iCs/>
          <w:color w:val="000000"/>
        </w:rPr>
        <w:t>khelyzeteiben és a kognitív típusú testnevelési játékokban (pl. táblajátékok mozgásos változatai).</w:t>
      </w:r>
    </w:p>
    <w:p w:rsidR="00CA4592" w:rsidRDefault="00DB5F63">
      <w:pPr>
        <w:pStyle w:val="Standard"/>
        <w:spacing w:after="160" w:line="360" w:lineRule="auto"/>
        <w:jc w:val="both"/>
        <w:rPr>
          <w:rFonts w:ascii="Jamrul" w:hAnsi="Jamrul"/>
          <w:i/>
          <w:iCs/>
          <w:color w:val="000000"/>
        </w:rPr>
      </w:pPr>
      <w:r>
        <w:rPr>
          <w:rFonts w:ascii="Jamrul" w:hAnsi="Jamrul"/>
          <w:i/>
          <w:iCs/>
          <w:color w:val="000000"/>
        </w:rPr>
        <w:t>A testnevelés a tanuló ügyességét, erejét, állóképességét, szomatikus, mentális és érzelmi teherbírását, monotóniatűrését is fejleszti. Ezek a képességek nél</w:t>
      </w:r>
      <w:r>
        <w:rPr>
          <w:rFonts w:ascii="Jamrul" w:hAnsi="Jamrul"/>
          <w:i/>
          <w:iCs/>
          <w:color w:val="000000"/>
        </w:rPr>
        <w:t>külözhetetlenek a munkaerőpiacon való sikeres elhelyezkedésben. A sporttevékenység során elsajátított tulajdonságok (fair play, fegyelem, csapatszemlélet, stb.) szintén nagyban elősegítik a diákok későbbi sikeres munkavállalását. A testnevelésben és a spor</w:t>
      </w:r>
      <w:r>
        <w:rPr>
          <w:rFonts w:ascii="Jamrul" w:hAnsi="Jamrul"/>
          <w:i/>
          <w:iCs/>
          <w:color w:val="000000"/>
        </w:rPr>
        <w:t>tban alkalom nyílik a bátorságot, a kockázatot, a kreativitást az innovációt igénylő tevékenységekre, a vállalkozáshoz szükséges kezdeményezőkészség    alkalmazására. A testedzés, a sportolás – a szabadidő egészséges eltöltésén keresztül, rekreatív hatásáv</w:t>
      </w:r>
      <w:r>
        <w:rPr>
          <w:rFonts w:ascii="Jamrul" w:hAnsi="Jamrul"/>
          <w:i/>
          <w:iCs/>
          <w:color w:val="000000"/>
        </w:rPr>
        <w:t>al – elősegíti a munka utáni pihenést, kikapcsolódást és regenerálódást.</w:t>
      </w:r>
    </w:p>
    <w:p w:rsidR="00CA4592" w:rsidRDefault="00CA4592">
      <w:pPr>
        <w:pStyle w:val="Standard"/>
        <w:spacing w:after="160" w:line="360" w:lineRule="auto"/>
        <w:jc w:val="both"/>
        <w:rPr>
          <w:rFonts w:ascii="Jamrul" w:hAnsi="Jamrul"/>
          <w:i/>
          <w:iCs/>
          <w:color w:val="000000"/>
        </w:rPr>
      </w:pPr>
    </w:p>
    <w:p w:rsidR="00CA4592" w:rsidRDefault="00DB5F63">
      <w:pPr>
        <w:pStyle w:val="Standard"/>
        <w:spacing w:after="160" w:line="360" w:lineRule="auto"/>
        <w:jc w:val="both"/>
        <w:rPr>
          <w:rFonts w:ascii="Jamrul" w:hAnsi="Jamrul"/>
          <w:b/>
          <w:bCs/>
          <w:i/>
          <w:iCs/>
          <w:color w:val="000000"/>
          <w:sz w:val="28"/>
          <w:szCs w:val="28"/>
        </w:rPr>
      </w:pPr>
      <w:r>
        <w:rPr>
          <w:rFonts w:ascii="Jamrul" w:hAnsi="Jamrul"/>
          <w:b/>
          <w:bCs/>
          <w:i/>
          <w:iCs/>
          <w:color w:val="000000"/>
          <w:sz w:val="28"/>
          <w:szCs w:val="28"/>
        </w:rPr>
        <w:t>9. és 10. évfolyam</w:t>
      </w:r>
    </w:p>
    <w:tbl>
      <w:tblPr>
        <w:tblW w:w="918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9"/>
        <w:gridCol w:w="3941"/>
      </w:tblGrid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b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b/>
                <w:color w:val="000000"/>
                <w:sz w:val="28"/>
                <w:szCs w:val="28"/>
              </w:rPr>
              <w:t>Témakör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b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b/>
                <w:color w:val="000000"/>
                <w:sz w:val="28"/>
                <w:szCs w:val="28"/>
              </w:rPr>
              <w:t>Javasolt óraszám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lastRenderedPageBreak/>
              <w:t>Gimnasztika és rendgyakorlatok – prevenció, relaxáció, képességfejlesztés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  <w:t>29+29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Atlétikai jellegű feladatmegoldások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29+29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Torna jellegű</w:t>
            </w:r>
            <w:r>
              <w:rPr>
                <w:rFonts w:ascii="Jamrul" w:hAnsi="Jamrul"/>
                <w:color w:val="000000"/>
                <w:sz w:val="28"/>
                <w:szCs w:val="28"/>
              </w:rPr>
              <w:t xml:space="preserve"> feladatmegoldások</w:t>
            </w:r>
          </w:p>
        </w:tc>
        <w:tc>
          <w:tcPr>
            <w:tcW w:w="3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29+29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Sportjátékok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 xml:space="preserve"> 40+40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Testnevelési és népi játékok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Önvédelmi és küzdősportok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7+7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Szabadon felhasználható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10+10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Úszás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b/>
                <w:bCs/>
                <w:color w:val="000000"/>
                <w:sz w:val="28"/>
                <w:szCs w:val="28"/>
              </w:rPr>
              <w:t>Összes óraszám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  <w:t>144+144</w:t>
            </w:r>
          </w:p>
        </w:tc>
      </w:tr>
    </w:tbl>
    <w:p w:rsidR="00CA4592" w:rsidRDefault="00CA4592">
      <w:pPr>
        <w:pStyle w:val="Standard"/>
      </w:pPr>
    </w:p>
    <w:p w:rsidR="00CA4592" w:rsidRDefault="00CA4592">
      <w:pPr>
        <w:pStyle w:val="Standard"/>
        <w:rPr>
          <w:rFonts w:ascii="Jamrul" w:hAnsi="Jamrul"/>
          <w:sz w:val="28"/>
          <w:szCs w:val="28"/>
        </w:rPr>
      </w:pPr>
    </w:p>
    <w:p w:rsidR="00CA4592" w:rsidRDefault="00DB5F63">
      <w:pPr>
        <w:pStyle w:val="Standard"/>
        <w:rPr>
          <w:rFonts w:ascii="Jamrul" w:hAnsi="Jamrul"/>
          <w:sz w:val="28"/>
          <w:szCs w:val="28"/>
          <w:u w:val="single"/>
        </w:rPr>
      </w:pPr>
      <w:r>
        <w:rPr>
          <w:rFonts w:ascii="Jamrul" w:hAnsi="Jamrul"/>
          <w:sz w:val="28"/>
          <w:szCs w:val="28"/>
          <w:u w:val="single"/>
        </w:rPr>
        <w:t>Kiemelt területek:</w:t>
      </w:r>
    </w:p>
    <w:p w:rsidR="00CA4592" w:rsidRDefault="00CA4592">
      <w:pPr>
        <w:pStyle w:val="Standard"/>
        <w:rPr>
          <w:rFonts w:ascii="Jamrul" w:hAnsi="Jamrul"/>
          <w:sz w:val="28"/>
          <w:szCs w:val="28"/>
          <w:u w:val="single"/>
        </w:rPr>
      </w:pP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kondicionális képességek fejlesztése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koordinációs képességek</w:t>
      </w:r>
      <w:r>
        <w:rPr>
          <w:rFonts w:ascii="Jamrul" w:hAnsi="Jamrul"/>
          <w:i/>
          <w:iCs/>
          <w:sz w:val="28"/>
          <w:szCs w:val="28"/>
        </w:rPr>
        <w:t xml:space="preserve"> fejlesztése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természetes mozgások helyes kialakítása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monotonitástűrés fejlesztése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formációk, alakzatok gyors, pontos</w:t>
      </w:r>
      <w:r>
        <w:rPr>
          <w:rFonts w:ascii="Jamrul" w:hAnsi="Jamrul"/>
          <w:i/>
          <w:iCs/>
          <w:sz w:val="28"/>
          <w:szCs w:val="28"/>
        </w:rPr>
        <w:t xml:space="preserve"> kialakítása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a sportjátékok technikai elmeinek elsajátítása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a torna alapvető elemeinek helyes végrehajtása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olimpiatörténet, különös figyelemmel a magyarokra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b/>
          <w:bCs/>
          <w:i/>
          <w:iCs/>
          <w:sz w:val="28"/>
          <w:szCs w:val="28"/>
        </w:rPr>
      </w:pPr>
      <w:r>
        <w:rPr>
          <w:rFonts w:ascii="Jamrul" w:hAnsi="Jamrul"/>
          <w:b/>
          <w:bCs/>
          <w:i/>
          <w:iCs/>
          <w:sz w:val="28"/>
          <w:szCs w:val="28"/>
        </w:rPr>
        <w:t>testtartásjavítás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b/>
          <w:bCs/>
          <w:i/>
          <w:iCs/>
          <w:sz w:val="28"/>
          <w:szCs w:val="28"/>
        </w:rPr>
      </w:pPr>
      <w:r>
        <w:rPr>
          <w:rFonts w:ascii="Jamrul" w:hAnsi="Jamrul"/>
          <w:b/>
          <w:bCs/>
          <w:i/>
          <w:iCs/>
          <w:sz w:val="28"/>
          <w:szCs w:val="28"/>
        </w:rPr>
        <w:t>egészségmegőrzés</w:t>
      </w:r>
    </w:p>
    <w:p w:rsidR="00CA4592" w:rsidRDefault="00DB5F63">
      <w:pPr>
        <w:pStyle w:val="Standard"/>
        <w:numPr>
          <w:ilvl w:val="0"/>
          <w:numId w:val="1"/>
        </w:numPr>
        <w:rPr>
          <w:rFonts w:ascii="Jamrul" w:hAnsi="Jamrul"/>
          <w:b/>
          <w:bCs/>
          <w:i/>
          <w:iCs/>
          <w:sz w:val="28"/>
          <w:szCs w:val="28"/>
        </w:rPr>
      </w:pPr>
      <w:r>
        <w:rPr>
          <w:rFonts w:ascii="Jamrul" w:hAnsi="Jamrul"/>
          <w:b/>
          <w:bCs/>
          <w:i/>
          <w:iCs/>
          <w:sz w:val="28"/>
          <w:szCs w:val="28"/>
        </w:rPr>
        <w:t>prevenció/drogprevenció</w:t>
      </w:r>
    </w:p>
    <w:p w:rsidR="00CA4592" w:rsidRDefault="00CA4592">
      <w:pPr>
        <w:pStyle w:val="Standard"/>
        <w:rPr>
          <w:rFonts w:ascii="Jamrul" w:hAnsi="Jamrul"/>
          <w:b/>
          <w:bCs/>
          <w:i/>
          <w:iCs/>
          <w:sz w:val="28"/>
          <w:szCs w:val="28"/>
        </w:rPr>
      </w:pPr>
    </w:p>
    <w:p w:rsidR="00CA4592" w:rsidRDefault="00CA4592">
      <w:pPr>
        <w:pStyle w:val="Standard"/>
        <w:rPr>
          <w:rFonts w:ascii="Jamrul" w:hAnsi="Jamrul"/>
          <w:sz w:val="28"/>
          <w:szCs w:val="28"/>
        </w:rPr>
      </w:pPr>
    </w:p>
    <w:p w:rsidR="00CA4592" w:rsidRDefault="00CA4592">
      <w:pPr>
        <w:pStyle w:val="Standard"/>
        <w:rPr>
          <w:rFonts w:ascii="Jamrul" w:hAnsi="Jamrul"/>
          <w:sz w:val="28"/>
          <w:szCs w:val="28"/>
        </w:rPr>
      </w:pPr>
    </w:p>
    <w:p w:rsidR="00CA4592" w:rsidRDefault="00DB5F63">
      <w:pPr>
        <w:pStyle w:val="Standard"/>
        <w:rPr>
          <w:rFonts w:ascii="Jamrul" w:hAnsi="Jamrul"/>
          <w:b/>
          <w:bCs/>
          <w:i/>
          <w:iCs/>
          <w:sz w:val="28"/>
          <w:szCs w:val="28"/>
        </w:rPr>
      </w:pPr>
      <w:r>
        <w:rPr>
          <w:rFonts w:ascii="Jamrul" w:hAnsi="Jamrul"/>
          <w:b/>
          <w:bCs/>
          <w:i/>
          <w:iCs/>
          <w:sz w:val="28"/>
          <w:szCs w:val="28"/>
        </w:rPr>
        <w:t>11. és 12. évfolyam</w:t>
      </w:r>
    </w:p>
    <w:p w:rsidR="00CA4592" w:rsidRDefault="00CA4592">
      <w:pPr>
        <w:pStyle w:val="Standard"/>
        <w:rPr>
          <w:rFonts w:ascii="Jamrul" w:hAnsi="Jamrul"/>
          <w:b/>
          <w:bCs/>
          <w:i/>
          <w:iCs/>
          <w:sz w:val="28"/>
          <w:szCs w:val="28"/>
        </w:rPr>
      </w:pPr>
    </w:p>
    <w:tbl>
      <w:tblPr>
        <w:tblW w:w="981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1"/>
        <w:gridCol w:w="4429"/>
      </w:tblGrid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b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b/>
                <w:color w:val="000000"/>
                <w:sz w:val="28"/>
                <w:szCs w:val="28"/>
              </w:rPr>
              <w:t>Témakör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b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b/>
                <w:color w:val="000000"/>
                <w:sz w:val="28"/>
                <w:szCs w:val="28"/>
              </w:rPr>
              <w:t>Javasol</w:t>
            </w:r>
            <w:r>
              <w:rPr>
                <w:rFonts w:ascii="Jamrul" w:hAnsi="Jamrul"/>
                <w:b/>
                <w:color w:val="000000"/>
                <w:sz w:val="28"/>
                <w:szCs w:val="28"/>
              </w:rPr>
              <w:t>t óraszám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Gimnasztika és rendgyakorlatok – prevenció, relaxáció, képességfejlesztés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  <w:t>20+20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Atlétikai jellegű feladatmegoldások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  <w:t>20+20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Torna jellegű feladatmegoldások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20+20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Sportjátékok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30+30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Önvédelmi és küzdősportok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4+4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Szabadon felhasználható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14+14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color w:val="000000"/>
                <w:sz w:val="28"/>
                <w:szCs w:val="28"/>
              </w:rPr>
              <w:t>Úszás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sz w:val="28"/>
                <w:szCs w:val="28"/>
              </w:rPr>
              <w:t>0</w:t>
            </w:r>
          </w:p>
        </w:tc>
      </w:tr>
      <w:tr w:rsidR="00CA4592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rPr>
                <w:rFonts w:ascii="Jamrul" w:hAnsi="Jamrul"/>
                <w:b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b/>
                <w:color w:val="000000"/>
                <w:sz w:val="28"/>
                <w:szCs w:val="28"/>
              </w:rPr>
              <w:t>Összes óraszám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A4592" w:rsidRDefault="00DB5F63">
            <w:pPr>
              <w:pStyle w:val="Standard"/>
              <w:jc w:val="center"/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Jamrul" w:hAnsi="Jamrul"/>
                <w:i/>
                <w:iCs/>
                <w:color w:val="000000"/>
                <w:sz w:val="28"/>
                <w:szCs w:val="28"/>
              </w:rPr>
              <w:t>108+108</w:t>
            </w:r>
          </w:p>
        </w:tc>
      </w:tr>
    </w:tbl>
    <w:p w:rsidR="00CA4592" w:rsidRDefault="00CA4592">
      <w:pPr>
        <w:pStyle w:val="Standard"/>
      </w:pPr>
    </w:p>
    <w:p w:rsidR="00CA4592" w:rsidRDefault="00CA4592">
      <w:pPr>
        <w:pStyle w:val="Standard"/>
      </w:pPr>
    </w:p>
    <w:p w:rsidR="00CA4592" w:rsidRDefault="00DB5F63">
      <w:pPr>
        <w:pStyle w:val="Standard"/>
        <w:rPr>
          <w:rFonts w:ascii="Jamrul" w:hAnsi="Jamrul"/>
          <w:sz w:val="28"/>
          <w:szCs w:val="28"/>
          <w:u w:val="single"/>
        </w:rPr>
      </w:pPr>
      <w:r>
        <w:rPr>
          <w:rFonts w:ascii="Jamrul" w:hAnsi="Jamrul"/>
          <w:sz w:val="28"/>
          <w:szCs w:val="28"/>
          <w:u w:val="single"/>
        </w:rPr>
        <w:t>Kiemelt területek:</w:t>
      </w:r>
    </w:p>
    <w:p w:rsidR="00CA4592" w:rsidRDefault="00CA4592">
      <w:pPr>
        <w:pStyle w:val="Standard"/>
        <w:rPr>
          <w:rFonts w:ascii="Jamrul" w:hAnsi="Jamrul"/>
          <w:sz w:val="28"/>
          <w:szCs w:val="28"/>
          <w:u w:val="single"/>
        </w:rPr>
      </w:pP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kondicionális képességek fejlesztése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monotonitástűrés fejlesztése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a sportjátékok taktikai elemeinek és a szabályok elsajátítása és alkalmazása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terhelés során a helyes erőbeosztás kialakítása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 xml:space="preserve">a torna </w:t>
      </w:r>
      <w:r>
        <w:rPr>
          <w:rFonts w:ascii="Jamrul" w:hAnsi="Jamrul"/>
          <w:i/>
          <w:iCs/>
          <w:sz w:val="28"/>
          <w:szCs w:val="28"/>
        </w:rPr>
        <w:t>elemeinek pontos végrehajtása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az emberi szervezet biológiai működésének alapvető ismereteinek elsajátítása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i/>
          <w:iCs/>
          <w:sz w:val="28"/>
          <w:szCs w:val="28"/>
        </w:rPr>
      </w:pPr>
      <w:r>
        <w:rPr>
          <w:rFonts w:ascii="Jamrul" w:hAnsi="Jamrul"/>
          <w:i/>
          <w:iCs/>
          <w:sz w:val="28"/>
          <w:szCs w:val="28"/>
        </w:rPr>
        <w:t>az elsősegélynyújtás során elvégzendő feladatok ismerete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b/>
          <w:bCs/>
          <w:i/>
          <w:iCs/>
          <w:sz w:val="28"/>
          <w:szCs w:val="28"/>
        </w:rPr>
      </w:pPr>
      <w:r>
        <w:rPr>
          <w:rFonts w:ascii="Jamrul" w:hAnsi="Jamrul"/>
          <w:b/>
          <w:bCs/>
          <w:i/>
          <w:iCs/>
          <w:sz w:val="28"/>
          <w:szCs w:val="28"/>
        </w:rPr>
        <w:t>prevenció/drogprevenció</w:t>
      </w:r>
    </w:p>
    <w:p w:rsidR="00CA4592" w:rsidRDefault="00DB5F63">
      <w:pPr>
        <w:pStyle w:val="Standard"/>
        <w:numPr>
          <w:ilvl w:val="0"/>
          <w:numId w:val="2"/>
        </w:numPr>
        <w:rPr>
          <w:rFonts w:ascii="Jamrul" w:hAnsi="Jamrul"/>
          <w:b/>
          <w:bCs/>
          <w:i/>
          <w:iCs/>
          <w:sz w:val="28"/>
          <w:szCs w:val="28"/>
        </w:rPr>
      </w:pPr>
      <w:r>
        <w:rPr>
          <w:rFonts w:ascii="Jamrul" w:hAnsi="Jamrul"/>
          <w:b/>
          <w:bCs/>
          <w:i/>
          <w:iCs/>
          <w:sz w:val="28"/>
          <w:szCs w:val="28"/>
        </w:rPr>
        <w:t>egészségmegőrzés</w:t>
      </w:r>
    </w:p>
    <w:sectPr w:rsidR="00CA459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F63" w:rsidRDefault="00DB5F63">
      <w:r>
        <w:separator/>
      </w:r>
    </w:p>
  </w:endnote>
  <w:endnote w:type="continuationSeparator" w:id="0">
    <w:p w:rsidR="00DB5F63" w:rsidRDefault="00DB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Arial Unicode MS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oto Sans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Jamrul">
    <w:altName w:val="Times New Roman"/>
    <w:charset w:val="00"/>
    <w:family w:val="auto"/>
    <w:pitch w:val="variable"/>
  </w:font>
  <w:font w:name="Garg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F63" w:rsidRDefault="00DB5F63">
      <w:r>
        <w:rPr>
          <w:color w:val="000000"/>
        </w:rPr>
        <w:separator/>
      </w:r>
    </w:p>
  </w:footnote>
  <w:footnote w:type="continuationSeparator" w:id="0">
    <w:p w:rsidR="00DB5F63" w:rsidRDefault="00DB5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E21E1"/>
    <w:multiLevelType w:val="multilevel"/>
    <w:tmpl w:val="CEDA31F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2120789C"/>
    <w:multiLevelType w:val="multilevel"/>
    <w:tmpl w:val="9760A2D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CA4592"/>
    <w:rsid w:val="00CA4592"/>
    <w:rsid w:val="00DB5F63"/>
    <w:rsid w:val="00E4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A8DFD-B370-4319-93FF-AB1DBB44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" w:hAnsi="Liberation Serif" w:cs="Lohit Devanagari"/>
        <w:kern w:val="3"/>
        <w:sz w:val="24"/>
        <w:szCs w:val="24"/>
        <w:lang w:val="hu-H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Blathy</dc:creator>
  <cp:lastModifiedBy>György Gavallér</cp:lastModifiedBy>
  <cp:revision>2</cp:revision>
  <dcterms:created xsi:type="dcterms:W3CDTF">2020-08-31T03:28:00Z</dcterms:created>
  <dcterms:modified xsi:type="dcterms:W3CDTF">2020-08-31T03:28:00Z</dcterms:modified>
</cp:coreProperties>
</file>